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эффективности реализации муниципальной программы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2015 – 2020 годы за 2015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 фактических и плановых значений целевых показателей (индикаторов) результативности муниципальной программы</w:t>
      </w: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1, установленной постановлением №707)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 за 2015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tbl>
      <w:tblPr>
        <w:tblStyle w:val="a3"/>
        <w:tblW w:w="0" w:type="auto"/>
        <w:tblLayout w:type="fixed"/>
        <w:tblLook w:val="04A0"/>
      </w:tblPr>
      <w:tblGrid>
        <w:gridCol w:w="540"/>
        <w:gridCol w:w="4246"/>
        <w:gridCol w:w="1843"/>
        <w:gridCol w:w="1843"/>
        <w:gridCol w:w="1275"/>
        <w:gridCol w:w="1276"/>
        <w:gridCol w:w="1559"/>
        <w:gridCol w:w="2660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4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843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53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66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реализации, предшествующий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отчетному</w:t>
            </w:r>
            <w:proofErr w:type="gramEnd"/>
          </w:p>
        </w:tc>
        <w:tc>
          <w:tcPr>
            <w:tcW w:w="411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266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(факт/план)</w:t>
            </w:r>
          </w:p>
        </w:tc>
        <w:tc>
          <w:tcPr>
            <w:tcW w:w="266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расходов бюджета, сформированных в рамках муниципальных программ, не менее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92,4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 налоговых и неналоговых доходов в сравнении с предыдущим годом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92,4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Средняя балльная оценка ГРБС по методике оценки финансового менеджмента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1</w:t>
            </w: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задолженности в общем объеме поступлений по статье (по арендным платежам)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4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приглашенных на Комиссию должников (неплательщиков)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 задачи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Минимальный объем охваченных контрольными мероприятиями средств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rPr>
          <w:trHeight w:val="273"/>
        </w:trP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2</w:t>
            </w: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АРМ, подключенных к общим информационным системам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учреждений, допустивших несвоевременное обновление информации на сайте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bus.gov.ru</w:t>
            </w:r>
            <w:proofErr w:type="spellEnd"/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3</w:t>
            </w: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стоимости прямого долга к уровню ставки рефинансирования Центрального банка Российской Федерации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просроченных долговых обязательств в объеме долга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4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объема краткосрочного долга к доходам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без учета безвозмездных поступлений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 задачи 3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2660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</w:tbl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Примечание: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1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программных расходов составляет 3 683 782,90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 составляет 3 986 759,59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Отношение:  3 683 782,90 / 3 986 759,59 = 92,4%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2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налоговых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неналоговых 2014 года составляет 1 025 276,64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налоговых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неналоговых 2015 года составляет 946 870,94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Темп роста:  946 870,94 / 1 025 276,64 = 92,4%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1.1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 по неналоговым доходам на 01.01.2016 составляет 36 148,10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поступлений неналоговых доходов составляет 228 205,69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задолженности в объеме поступлений:  36 148,10 / 228 205,69 = 15,8%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1.4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 учреждений, выполнивших МЗ в полном объеме и с заданными показателями качества составляет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66;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Общее количество муниципальных учреждений, выполняющих МЗ, составляет 69;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Доля: 66 / 69 = 96%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Расчет целевого показателя 1.5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средств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Северск, охваченных контрольными мероприятиями составляет 192 913,40 тыс.руб.;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Общий объем ассигнований, являющийся объектом муниципального финансового контроля составляет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3 986 759,59 тыс.руб.;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Доля: 192 913,40 / 3 986 759,59  = 5%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2.3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муниципальных учреждений, размещающих информацию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bus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 составляет 85;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Количество муниципальных учреждений, допустивших несвоевременное размещение информации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bus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 составляет 23;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Доля: 23 / 85 = 27%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3.1</w:t>
      </w:r>
    </w:p>
    <w:tbl>
      <w:tblPr>
        <w:tblStyle w:val="a3"/>
        <w:tblpPr w:leftFromText="180" w:rightFromText="180" w:vertAnchor="text" w:horzAnchor="page" w:tblpX="1921" w:tblpY="171"/>
        <w:tblW w:w="0" w:type="auto"/>
        <w:tblLook w:val="04A0"/>
      </w:tblPr>
      <w:tblGrid>
        <w:gridCol w:w="3794"/>
        <w:gridCol w:w="1417"/>
        <w:gridCol w:w="1560"/>
        <w:gridCol w:w="2268"/>
        <w:gridCol w:w="1578"/>
      </w:tblGrid>
      <w:tr>
        <w:tc>
          <w:tcPr>
            <w:tcW w:w="37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кредита, тыс.руб.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по кредиту, %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уплачено за пользование кредитом в 2015 году, тыс.руб.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выплаченной ставки, %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Коммерческий кредит 2014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50 185,57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12,23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3 199,19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6,37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Коммерческий кредит 2015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37 906,17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379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Бюджетный кредит 2015 года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52 700,00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154,85</w:t>
            </w:r>
          </w:p>
        </w:tc>
        <w:tc>
          <w:tcPr>
            <w:tcW w:w="157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стоимость прямого долга: 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4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2pt;height:31.3pt" o:ole="">
            <v:imagedata r:id="rId7" o:title=""/>
          </v:shape>
          <o:OLEObject Type="Embed" ProgID="Equation.3" ShapeID="_x0000_i1025" DrawAspect="Content" ObjectID="_1519633860" r:id="rId8"/>
        </w:objec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Отношение стоимости прямого долга к уровню ставки рефинансирования Центрального банка Российской Федерации:  </w:t>
      </w:r>
      <w:r>
        <w:rPr>
          <w:rFonts w:ascii="Times New Roman" w:hAnsi="Times New Roman" w:cs="Times New Roman"/>
          <w:position w:val="-28"/>
          <w:sz w:val="24"/>
          <w:szCs w:val="24"/>
        </w:rPr>
        <w:object w:dxaOrig="1500" w:dyaOrig="660">
          <v:shape id="_x0000_i1026" type="#_x0000_t75" style="width:75.15pt;height:33.2pt" o:ole="">
            <v:imagedata r:id="rId9" o:title=""/>
          </v:shape>
          <o:OLEObject Type="Embed" ProgID="Equation.3" ShapeID="_x0000_i1026" DrawAspect="Content" ObjectID="_1519633861" r:id="rId10"/>
        </w:objec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3.3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Объем краткосрочного долга составляет 37 906,17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доходов без МБТ составляет 946 870,94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Отношение: 37 606,17 / 946 870,94 = 4%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3.4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Объем остатков на едином счете бюджета составляет 78 833,51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расходов составляет 3 986 759,59 тыс.руб.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Отношение: 78 833,51  / 3 986 759,59 = 2%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(по форме 2, установленной постановлением №707)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 (индикаторов) результативности подпрограммы 1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качества управления муниципальными финансами участниками бюджетного процесса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ЗАТО Северск</w:t>
      </w:r>
      <w:r>
        <w:rPr>
          <w:rFonts w:ascii="Times New Roman" w:hAnsi="Times New Roman" w:cs="Times New Roman"/>
          <w:sz w:val="24"/>
          <w:szCs w:val="24"/>
        </w:rPr>
        <w:t>»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2015 год 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Style w:val="a3"/>
        <w:tblW w:w="0" w:type="auto"/>
        <w:tblLayout w:type="fixed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8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 1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 1</w:t>
            </w:r>
          </w:p>
        </w:tc>
        <w:tc>
          <w:tcPr>
            <w:tcW w:w="237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предшествующий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Задача. 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задолженности в общем объеме поступлений по статье (по арендным платежам)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приглашенных на Комиссию по мобилизации доходов должников (неплательщиков)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Целевой показатель 4 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учреждений, выполнивших муниципальное задание  полном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 заданными показателями качества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88" w:type="dxa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Минимальный объем охваченных контрольными мероприятиями средств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подпрограммы 2 </w:t>
      </w:r>
    </w:p>
    <w:p>
      <w:pPr>
        <w:spacing w:after="0" w:line="2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Повышение качества и уровня автоматизации бюджетного процесса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ЗАТО Северск</w:t>
      </w:r>
      <w:r>
        <w:rPr>
          <w:rFonts w:ascii="Times New Roman" w:hAnsi="Times New Roman" w:cs="Times New Roman"/>
          <w:sz w:val="24"/>
          <w:szCs w:val="24"/>
        </w:rPr>
        <w:t>»</w:t>
      </w: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 </w:t>
      </w:r>
    </w:p>
    <w:p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2015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Style w:val="a3"/>
        <w:tblW w:w="0" w:type="auto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8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37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предшествующий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(2014)</w:t>
            </w: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Задача: 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hAnsi="Times New Roman"/>
              </w:rPr>
              <w:t>территории</w:t>
            </w:r>
            <w:proofErr w:type="gramEnd"/>
            <w:r>
              <w:rPr>
                <w:rFonts w:ascii="Times New Roman" w:hAnsi="Times New Roman"/>
              </w:rPr>
              <w:t xml:space="preserve"> ЗАТО Северск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АРМ, подключенных к общим информационным системам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учреждений, допустивших несвоевременное обновление информации на сайте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bus.gov.ru</w:t>
            </w:r>
            <w:proofErr w:type="spellEnd"/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резервных баз данных и их хранение на автономных носителях информации, в год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размещенных «бюджетов для граждан» на официальном сайте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подпрограммы 3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Обеспечение устойчивости </w:t>
      </w:r>
      <w:proofErr w:type="gramStart"/>
      <w:r>
        <w:rPr>
          <w:rFonts w:ascii="Times New Roman" w:hAnsi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Северск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2015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4</w:t>
      </w:r>
    </w:p>
    <w:tbl>
      <w:tblPr>
        <w:tblStyle w:val="a3"/>
        <w:tblW w:w="0" w:type="auto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>
        <w:tc>
          <w:tcPr>
            <w:tcW w:w="540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8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376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предшествующий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Задача: Эффективное управление муниципальным </w:t>
            </w:r>
            <w:proofErr w:type="gramStart"/>
            <w:r>
              <w:rPr>
                <w:rFonts w:ascii="Times New Roman" w:hAnsi="Times New Roman"/>
              </w:rPr>
              <w:t>долгом</w:t>
            </w:r>
            <w:proofErr w:type="gramEnd"/>
            <w:r>
              <w:rPr>
                <w:rFonts w:ascii="Times New Roman" w:hAnsi="Times New Roman"/>
              </w:rPr>
              <w:t xml:space="preserve"> ЗАТО Северск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стоимости прямого долга к уровню ставки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рефинансирова-ния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Центрального банка Российской Федерации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просроченных долговых обязательств в объеме долга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Отношение объема краткосрочного долга к доходам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без учета безвозмездных поступлений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388" w:type="dxa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Целевой показатель 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37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Оценка степени достижения целей и решения задач муниципальной программы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п.8 Порядка степень достижения целей и решения задач муниципальной программы определяется по формуле: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72"/>
          <w:sz w:val="24"/>
          <w:szCs w:val="24"/>
        </w:rPr>
        <w:object w:dxaOrig="3780" w:dyaOrig="1560">
          <v:shape id="_x0000_i1027" type="#_x0000_t75" style="width:189.1pt;height:78.25pt" o:ole="">
            <v:imagedata r:id="rId11" o:title=""/>
          </v:shape>
          <o:OLEObject Type="Embed" ProgID="Equation.3" ShapeID="_x0000_i1027" DrawAspect="Content" ObjectID="_1519633862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 данным таблиц 1 – 4 показатель </w:t>
      </w:r>
      <w:r>
        <w:rPr>
          <w:rFonts w:ascii="Times New Roman" w:hAnsi="Times New Roman" w:cs="Times New Roman"/>
          <w:b/>
          <w:position w:val="-14"/>
        </w:rPr>
        <w:object w:dxaOrig="660" w:dyaOrig="380">
          <v:shape id="_x0000_i1028" type="#_x0000_t75" style="width:33.2pt;height:18.8pt" o:ole="">
            <v:imagedata r:id="rId13" o:title=""/>
          </v:shape>
          <o:OLEObject Type="Embed" ProgID="Equation.3" ShapeID="_x0000_i1028" DrawAspect="Content" ObjectID="_1519633863" r:id="rId14"/>
        </w:object>
      </w:r>
      <w:r>
        <w:rPr>
          <w:rFonts w:ascii="Times New Roman" w:hAnsi="Times New Roman" w:cs="Times New Roman"/>
          <w:b/>
        </w:rPr>
        <w:t>1,2.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Согласно п.9 Порядка, значение показателя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600" w:dyaOrig="380">
          <v:shape id="_x0000_i1029" type="#_x0000_t75" style="width:80.15pt;height:18.8pt" o:ole="">
            <v:imagedata r:id="rId15" o:title=""/>
          </v:shape>
          <o:OLEObject Type="Embed" ProgID="Equation.3" ShapeID="_x0000_i1029" DrawAspect="Content" ObjectID="_1519633864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по шкале оценки степени достижения целей и решения задач свидетельствует </w:t>
      </w:r>
      <w:r>
        <w:rPr>
          <w:rFonts w:ascii="Times New Roman" w:hAnsi="Times New Roman" w:cs="Times New Roman"/>
          <w:b/>
          <w:sz w:val="24"/>
          <w:szCs w:val="24"/>
        </w:rPr>
        <w:t>о высокой результативности.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 </w:t>
      </w:r>
      <w:r>
        <w:rPr>
          <w:rFonts w:ascii="Times New Roman" w:hAnsi="Times New Roman" w:cs="Times New Roman"/>
          <w:b/>
          <w:sz w:val="24"/>
          <w:szCs w:val="24"/>
        </w:rPr>
        <w:t>Анализ фактических и плановых объемов финансирования на реализацию муниципальной программы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3, установленной постановлением №707)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финансировании реализации муниципальной программы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 за 2015 год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5</w:t>
      </w:r>
    </w:p>
    <w:tbl>
      <w:tblPr>
        <w:tblStyle w:val="a3"/>
        <w:tblW w:w="0" w:type="auto"/>
        <w:tblLook w:val="04A0"/>
      </w:tblPr>
      <w:tblGrid>
        <w:gridCol w:w="540"/>
        <w:gridCol w:w="8924"/>
        <w:gridCol w:w="2126"/>
        <w:gridCol w:w="1985"/>
        <w:gridCol w:w="1667"/>
      </w:tblGrid>
      <w:t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892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подпрограммы, ВЦП, основного мероприятия, мероприятия</w:t>
            </w:r>
          </w:p>
        </w:tc>
        <w:tc>
          <w:tcPr>
            <w:tcW w:w="577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(тыс.руб.)</w:t>
            </w:r>
          </w:p>
        </w:tc>
      </w:tr>
      <w:tr>
        <w:tc>
          <w:tcPr>
            <w:tcW w:w="540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4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Утвержденные расходы на реализацию программы в отчетном году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на реализацию программы в отчетном году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освоения средств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Северск», всего, в том числе: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Северск», всего, в том числе: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2 046,55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2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2 046,55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«Обеспечение устойчивости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Северск», всего, в том числе: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3 397,88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долгом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3 397,88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98,7%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23 108,50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23 015,97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99,6%</w:t>
            </w:r>
          </w:p>
        </w:tc>
      </w:tr>
      <w:tr>
        <w:tc>
          <w:tcPr>
            <w:tcW w:w="540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4" w:type="dxa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28 552,93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28 416,49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99,5%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п.10 Порядка оценка эффективности освоения средств муниципальной программы определяется по формуле: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30"/>
          <w:sz w:val="24"/>
          <w:szCs w:val="24"/>
        </w:rPr>
        <w:object w:dxaOrig="1140" w:dyaOrig="680">
          <v:shape id="_x0000_i1030" type="#_x0000_t75" style="width:56.95pt;height:33.8pt" o:ole="">
            <v:imagedata r:id="rId17" o:title=""/>
          </v:shape>
          <o:OLEObject Type="Embed" ProgID="Equation.3" ShapeID="_x0000_i1030" DrawAspect="Content" ObjectID="_1519633865" r:id="rId18"/>
        </w:objec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 данным таблицы 5 показатель </w:t>
      </w:r>
      <w:r>
        <w:rPr>
          <w:rFonts w:ascii="Times New Roman" w:hAnsi="Times New Roman" w:cs="Times New Roman"/>
          <w:b/>
          <w:position w:val="-12"/>
        </w:rPr>
        <w:object w:dxaOrig="660" w:dyaOrig="360">
          <v:shape id="_x0000_i1031" type="#_x0000_t75" style="width:33.2pt;height:18.15pt" o:ole="">
            <v:imagedata r:id="rId19" o:title=""/>
          </v:shape>
          <o:OLEObject Type="Embed" ProgID="Equation.3" ShapeID="_x0000_i1031" DrawAspect="Content" ObjectID="_1519633866" r:id="rId20"/>
        </w:object>
      </w:r>
      <w:r>
        <w:rPr>
          <w:rFonts w:ascii="Times New Roman" w:hAnsi="Times New Roman" w:cs="Times New Roman"/>
          <w:b/>
        </w:rPr>
        <w:t>0,995.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Согласно п.9 Порядка, значение показателя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579" w:dyaOrig="360">
          <v:shape id="_x0000_i1032" type="#_x0000_t75" style="width:78.9pt;height:18.15pt" o:ole="">
            <v:imagedata r:id="rId21" o:title=""/>
          </v:shape>
          <o:OLEObject Type="Embed" ProgID="Equation.3" ShapeID="_x0000_i1032" DrawAspect="Content" ObjectID="_1519633867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 по шкале эффективности освоения средств муниципальной программы свидетельствует </w:t>
      </w:r>
      <w:r>
        <w:rPr>
          <w:rFonts w:ascii="Times New Roman" w:hAnsi="Times New Roman" w:cs="Times New Roman"/>
          <w:b/>
          <w:sz w:val="24"/>
          <w:szCs w:val="24"/>
        </w:rPr>
        <w:t>о полном освоении.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 xml:space="preserve">  Анализ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эффективности реализации муниципальной программы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п.12 и таблицей 3 Порядка эффективность реализации муниципальной программы оценивается как </w:t>
      </w:r>
      <w:r>
        <w:rPr>
          <w:rFonts w:ascii="Times New Roman" w:hAnsi="Times New Roman" w:cs="Times New Roman"/>
          <w:b/>
          <w:sz w:val="24"/>
          <w:szCs w:val="24"/>
        </w:rPr>
        <w:t>высокая</w:t>
      </w:r>
      <w:r>
        <w:rPr>
          <w:rFonts w:ascii="Times New Roman" w:hAnsi="Times New Roman" w:cs="Times New Roman"/>
          <w:sz w:val="24"/>
          <w:szCs w:val="24"/>
        </w:rPr>
        <w:t xml:space="preserve"> (оценка – 5).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Е.А.Холоша</w:t>
      </w:r>
      <w:proofErr w:type="spellEnd"/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77 38 60</w:t>
      </w:r>
    </w:p>
    <w:sectPr>
      <w:headerReference w:type="default" r:id="rId23"/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97172"/>
      <w:docPartObj>
        <w:docPartGallery w:val="Page Numbers (Top of Page)"/>
        <w:docPartUnique/>
      </w:docPartObj>
    </w:sdtPr>
    <w:sdtContent>
      <w:p>
        <w:pPr>
          <w:pStyle w:val="a5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  <w:p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06B5F"/>
    <w:multiLevelType w:val="hybridMultilevel"/>
    <w:tmpl w:val="1D3E42A0"/>
    <w:lvl w:ilvl="0" w:tplc="16E21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9</Pages>
  <Words>1954</Words>
  <Characters>11141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23</cp:revision>
  <cp:lastPrinted>2016-03-16T05:39:00Z</cp:lastPrinted>
  <dcterms:created xsi:type="dcterms:W3CDTF">2016-02-16T10:13:00Z</dcterms:created>
  <dcterms:modified xsi:type="dcterms:W3CDTF">2016-03-16T05:44:00Z</dcterms:modified>
</cp:coreProperties>
</file>